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6207D081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0249FC">
        <w:rPr>
          <w:color w:val="000099"/>
          <w:sz w:val="27"/>
          <w:szCs w:val="27"/>
        </w:rPr>
        <w:t>1913-2610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52D03132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11 сентября</w:t>
      </w:r>
      <w:r w:rsidR="008D2C47">
        <w:rPr>
          <w:bCs/>
          <w:color w:val="000099"/>
          <w:sz w:val="28"/>
          <w:szCs w:val="28"/>
        </w:rPr>
        <w:t xml:space="preserve"> 2024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6B4580" w:rsidRPr="00004921" w:rsidP="008C6E70" w14:paraId="50463893" w14:textId="49F646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</w:t>
      </w:r>
      <w:r w:rsidRPr="00004921" w:rsidR="008C6E70">
        <w:rPr>
          <w:sz w:val="28"/>
          <w:szCs w:val="28"/>
        </w:rPr>
        <w:t>каб</w:t>
      </w:r>
      <w:r w:rsidRPr="00004921" w:rsidR="008C6E70">
        <w:rPr>
          <w:sz w:val="28"/>
          <w:szCs w:val="28"/>
        </w:rPr>
        <w:t xml:space="preserve">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 w:rsidR="000249FC">
        <w:rPr>
          <w:color w:val="000099"/>
          <w:sz w:val="28"/>
          <w:szCs w:val="28"/>
        </w:rPr>
        <w:t>Новгородова</w:t>
      </w:r>
      <w:r w:rsidR="000249FC">
        <w:rPr>
          <w:color w:val="000099"/>
          <w:sz w:val="28"/>
          <w:szCs w:val="28"/>
        </w:rPr>
        <w:t xml:space="preserve"> Андрея Викторовича</w:t>
      </w:r>
      <w:r w:rsidR="000C4FBC">
        <w:rPr>
          <w:color w:val="000099"/>
          <w:sz w:val="28"/>
          <w:szCs w:val="28"/>
        </w:rPr>
        <w:t>, родивше</w:t>
      </w:r>
      <w:r w:rsidR="00F65AAB">
        <w:rPr>
          <w:color w:val="000099"/>
          <w:sz w:val="28"/>
          <w:szCs w:val="28"/>
        </w:rPr>
        <w:t>го</w:t>
      </w:r>
      <w:r w:rsidR="000C4FBC">
        <w:rPr>
          <w:color w:val="000099"/>
          <w:sz w:val="28"/>
          <w:szCs w:val="28"/>
        </w:rPr>
        <w:t xml:space="preserve">ся </w:t>
      </w:r>
      <w:r w:rsidR="00635579">
        <w:rPr>
          <w:color w:val="000099"/>
          <w:sz w:val="28"/>
          <w:szCs w:val="28"/>
        </w:rPr>
        <w:t>**</w:t>
      </w:r>
      <w:r w:rsidR="008D2C47">
        <w:rPr>
          <w:color w:val="000099"/>
          <w:sz w:val="28"/>
          <w:szCs w:val="28"/>
        </w:rPr>
        <w:t xml:space="preserve">, </w:t>
      </w:r>
      <w:r w:rsidR="000249FC">
        <w:rPr>
          <w:color w:val="000099"/>
          <w:sz w:val="28"/>
          <w:szCs w:val="28"/>
        </w:rPr>
        <w:t xml:space="preserve">не </w:t>
      </w:r>
      <w:r w:rsidR="008D2C47">
        <w:rPr>
          <w:color w:val="000099"/>
          <w:sz w:val="28"/>
          <w:szCs w:val="28"/>
        </w:rPr>
        <w:t>работающего</w:t>
      </w:r>
      <w:r w:rsidR="000249FC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39380C" w:rsidP="00252CEF" w14:paraId="5979000A" w14:textId="5CFEF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04.08</w:t>
      </w:r>
      <w:r w:rsidR="00252CEF">
        <w:rPr>
          <w:sz w:val="28"/>
          <w:szCs w:val="28"/>
        </w:rPr>
        <w:t>.2024</w:t>
      </w:r>
      <w:r w:rsidR="008C6E70">
        <w:rPr>
          <w:sz w:val="28"/>
          <w:szCs w:val="28"/>
        </w:rPr>
        <w:t xml:space="preserve"> года в </w:t>
      </w:r>
      <w:r w:rsidR="000C0BB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 w:rsidR="00D15C6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>556 км а/д Тюмень-Ханты-Мансийск Нефтеюганский район</w:t>
      </w:r>
      <w:r w:rsidR="000C0BB2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Новгородов</w:t>
      </w:r>
      <w:r>
        <w:rPr>
          <w:color w:val="000099"/>
          <w:sz w:val="28"/>
          <w:szCs w:val="28"/>
        </w:rPr>
        <w:t xml:space="preserve"> А.В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4F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т/с Рено Логан г/н </w:t>
      </w:r>
      <w:r w:rsidR="00635579"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="00421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маневр обгон впереди движущегося т/с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выездом на полосу дороги, </w:t>
      </w:r>
      <w:r w:rsidR="00252CEF">
        <w:rPr>
          <w:sz w:val="28"/>
          <w:szCs w:val="28"/>
        </w:rPr>
        <w:t>предназначенную для встречного движения</w:t>
      </w:r>
      <w:r>
        <w:rPr>
          <w:sz w:val="28"/>
          <w:szCs w:val="28"/>
        </w:rPr>
        <w:t xml:space="preserve">, при это при завершении маневра обгон пересек дорожную разметку </w:t>
      </w:r>
      <w:r w:rsidR="00252CEF">
        <w:rPr>
          <w:sz w:val="28"/>
          <w:szCs w:val="28"/>
        </w:rPr>
        <w:t>1.1</w:t>
      </w:r>
      <w:r>
        <w:rPr>
          <w:sz w:val="28"/>
          <w:szCs w:val="28"/>
        </w:rPr>
        <w:t>, чем нарушил п. 1.3 ПДД РФ.</w:t>
      </w:r>
    </w:p>
    <w:p w:rsidR="00C97D79" w:rsidRPr="001D6321" w:rsidP="00C97D79" w14:paraId="42811B76" w14:textId="2D1719F0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99"/>
          <w:sz w:val="28"/>
          <w:szCs w:val="28"/>
        </w:rPr>
        <w:t>Новгородов</w:t>
      </w:r>
      <w:r>
        <w:rPr>
          <w:color w:val="000099"/>
          <w:sz w:val="28"/>
          <w:szCs w:val="28"/>
        </w:rPr>
        <w:t xml:space="preserve"> А.В</w:t>
      </w:r>
      <w:r w:rsidR="004B11A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97D79">
        <w:rPr>
          <w:color w:val="000099"/>
          <w:spacing w:val="3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извещенн</w:t>
      </w:r>
      <w:r>
        <w:rPr>
          <w:color w:val="000099"/>
          <w:spacing w:val="3"/>
          <w:sz w:val="28"/>
          <w:szCs w:val="28"/>
        </w:rPr>
        <w:t>ый</w:t>
      </w:r>
      <w:r w:rsidRPr="003903E7">
        <w:rPr>
          <w:color w:val="000099"/>
          <w:spacing w:val="3"/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pacing w:val="3"/>
          <w:sz w:val="28"/>
          <w:szCs w:val="28"/>
        </w:rPr>
        <w:t>ся</w:t>
      </w:r>
      <w:r w:rsidRPr="003903E7">
        <w:rPr>
          <w:color w:val="000099"/>
          <w:spacing w:val="3"/>
          <w:sz w:val="28"/>
          <w:szCs w:val="28"/>
        </w:rPr>
        <w:t>, ходатайств об отложении рассмотрения дела не заявлял. Мировой судья</w:t>
      </w:r>
      <w:r>
        <w:rPr>
          <w:color w:val="000099"/>
          <w:spacing w:val="3"/>
          <w:sz w:val="28"/>
          <w:szCs w:val="28"/>
        </w:rPr>
        <w:t xml:space="preserve"> на основании ч.2 ст. 25.1 КоАП РФ</w:t>
      </w:r>
      <w:r w:rsidRPr="003903E7">
        <w:rPr>
          <w:color w:val="000099"/>
          <w:spacing w:val="3"/>
          <w:sz w:val="28"/>
          <w:szCs w:val="28"/>
        </w:rPr>
        <w:t xml:space="preserve"> считает возможным рассмотреть дело в е</w:t>
      </w:r>
      <w:r>
        <w:rPr>
          <w:color w:val="000099"/>
          <w:spacing w:val="3"/>
          <w:sz w:val="28"/>
          <w:szCs w:val="28"/>
        </w:rPr>
        <w:t>го</w:t>
      </w:r>
      <w:r w:rsidRPr="003903E7">
        <w:rPr>
          <w:color w:val="000099"/>
          <w:spacing w:val="3"/>
          <w:sz w:val="28"/>
          <w:szCs w:val="28"/>
        </w:rPr>
        <w:t xml:space="preserve"> отсутствие.</w:t>
      </w:r>
    </w:p>
    <w:p w:rsidR="00792A93" w:rsidRPr="0039380C" w:rsidP="00252CEF" w14:paraId="3D788813" w14:textId="55452611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0249FC">
        <w:rPr>
          <w:color w:val="000099"/>
          <w:sz w:val="28"/>
          <w:szCs w:val="28"/>
        </w:rPr>
        <w:t>Новгородова</w:t>
      </w:r>
      <w:r w:rsidR="000249FC">
        <w:rPr>
          <w:color w:val="000099"/>
          <w:sz w:val="28"/>
          <w:szCs w:val="28"/>
        </w:rPr>
        <w:t xml:space="preserve"> А.В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635579">
        <w:rPr>
          <w:color w:val="000000"/>
          <w:sz w:val="28"/>
          <w:szCs w:val="28"/>
        </w:rPr>
        <w:t>***</w:t>
      </w:r>
      <w:r w:rsidR="0039380C">
        <w:rPr>
          <w:color w:val="000000"/>
          <w:sz w:val="28"/>
          <w:szCs w:val="28"/>
        </w:rPr>
        <w:t>.</w:t>
      </w:r>
    </w:p>
    <w:p w:rsidR="00E27E8E" w:rsidRPr="008B3937" w:rsidP="00E27E8E" w14:paraId="56D68C42" w14:textId="6F293F8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4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E27E8E" w:rsidP="00E27E8E" w14:paraId="5B8EAA1D" w14:textId="4ED7D9BC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8A27DD" w:rsidRPr="003C1090" w:rsidP="003C1090" w14:paraId="7D3F066F" w14:textId="77777777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8A27DD" w:rsidRPr="003C1090" w:rsidP="000C696A" w14:paraId="2FFD9DB2" w14:textId="5520A80B">
      <w:pPr>
        <w:ind w:firstLine="567"/>
        <w:jc w:val="both"/>
        <w:rPr>
          <w:sz w:val="28"/>
          <w:szCs w:val="28"/>
        </w:rPr>
      </w:pPr>
      <w:r w:rsidRPr="000C696A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 w:rsidRPr="000C696A">
          <w:rPr>
            <w:rStyle w:val="Hyperlink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18</w:t>
      </w:r>
      <w:r w:rsidR="00421DC9">
        <w:rPr>
          <w:sz w:val="28"/>
          <w:szCs w:val="28"/>
        </w:rPr>
        <w:t>.01.</w:t>
      </w:r>
      <w:r w:rsidRPr="000C696A">
        <w:rPr>
          <w:sz w:val="28"/>
          <w:szCs w:val="28"/>
        </w:rPr>
        <w:t xml:space="preserve">2011 г. N 6-О-О (а также, в </w:t>
      </w:r>
      <w:hyperlink r:id="rId6" w:history="1">
        <w:r w:rsidRPr="000C696A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</w:t>
      </w:r>
      <w:r w:rsidR="00421DC9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421DC9">
        <w:rPr>
          <w:sz w:val="28"/>
          <w:szCs w:val="28"/>
        </w:rPr>
        <w:t>.12.</w:t>
      </w:r>
      <w:r w:rsidRPr="000C696A">
        <w:rPr>
          <w:sz w:val="28"/>
          <w:szCs w:val="28"/>
        </w:rPr>
        <w:t>2010 г. N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</w:t>
      </w:r>
      <w:r w:rsidRPr="003C1090">
        <w:rPr>
          <w:sz w:val="28"/>
          <w:szCs w:val="28"/>
        </w:rPr>
        <w:t xml:space="preserve">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421DC9" w:rsidRPr="003C1090" w:rsidP="00421DC9" w14:paraId="25138EDC" w14:textId="7A5C4E95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421DC9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5B68F0D1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0249FC">
        <w:rPr>
          <w:color w:val="000099"/>
          <w:sz w:val="28"/>
          <w:szCs w:val="28"/>
        </w:rPr>
        <w:t>Новгородова</w:t>
      </w:r>
      <w:r w:rsidR="000249FC">
        <w:rPr>
          <w:color w:val="000099"/>
          <w:sz w:val="28"/>
          <w:szCs w:val="28"/>
        </w:rPr>
        <w:t xml:space="preserve"> А.В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Pr="003C1090" w:rsidR="00F65AAB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E27E8E" w:rsidRPr="003C1090" w:rsidP="00421DC9" w14:paraId="0FE3856A" w14:textId="1E0F00D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>не имеется. Обстоятельств, смягчающи</w:t>
      </w:r>
      <w:r w:rsidRPr="003C1090" w:rsidR="00F07F2B">
        <w:rPr>
          <w:sz w:val="28"/>
          <w:szCs w:val="28"/>
        </w:rPr>
        <w:t>х</w:t>
      </w:r>
      <w:r w:rsidRPr="003C1090">
        <w:rPr>
          <w:sz w:val="28"/>
          <w:szCs w:val="28"/>
        </w:rPr>
        <w:t xml:space="preserve"> административную ответственность, по делу </w:t>
      </w:r>
      <w:r w:rsidRPr="003C1090" w:rsidR="00F07F2B">
        <w:rPr>
          <w:sz w:val="28"/>
          <w:szCs w:val="28"/>
        </w:rPr>
        <w:t>не установлено.</w:t>
      </w:r>
      <w:r w:rsidRPr="003C1090">
        <w:rPr>
          <w:sz w:val="28"/>
          <w:szCs w:val="28"/>
        </w:rPr>
        <w:t xml:space="preserve"> </w:t>
      </w:r>
      <w:r w:rsidRPr="003C1090" w:rsidR="0057047A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  <w:r w:rsidR="00421DC9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>, 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0249FC">
        <w:rPr>
          <w:color w:val="000099"/>
          <w:sz w:val="28"/>
          <w:szCs w:val="28"/>
        </w:rPr>
        <w:t>Новгородову</w:t>
      </w:r>
      <w:r w:rsidR="000249FC">
        <w:rPr>
          <w:color w:val="000099"/>
          <w:sz w:val="28"/>
          <w:szCs w:val="28"/>
        </w:rPr>
        <w:t xml:space="preserve"> А.В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Руководствуясь </w:t>
      </w:r>
      <w:r w:rsidRPr="003C1090">
        <w:rPr>
          <w:sz w:val="28"/>
          <w:szCs w:val="28"/>
        </w:rPr>
        <w:t>ст.ст</w:t>
      </w:r>
      <w:r w:rsidRPr="003C1090">
        <w:rPr>
          <w:sz w:val="28"/>
          <w:szCs w:val="28"/>
        </w:rPr>
        <w:t>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33CE0685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Новгородова</w:t>
      </w:r>
      <w:r>
        <w:rPr>
          <w:color w:val="000099"/>
          <w:sz w:val="28"/>
          <w:szCs w:val="28"/>
        </w:rPr>
        <w:t xml:space="preserve"> Андрея Викторовича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F65AAB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62149309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9B10A6">
        <w:rPr>
          <w:sz w:val="28"/>
          <w:szCs w:val="28"/>
        </w:rPr>
        <w:t>каб</w:t>
      </w:r>
      <w:r w:rsidRPr="009B10A6">
        <w:rPr>
          <w:sz w:val="28"/>
          <w:szCs w:val="28"/>
        </w:rPr>
        <w:t xml:space="preserve">. </w:t>
      </w:r>
      <w:r w:rsidR="00F65AAB">
        <w:rPr>
          <w:sz w:val="28"/>
          <w:szCs w:val="28"/>
        </w:rPr>
        <w:t>10</w:t>
      </w:r>
      <w:r w:rsidR="00B467AE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5E3DEBD7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271956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65BE04D5" w14:textId="58D22BEC">
      <w:pPr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0"/>
      <w:footerReference w:type="default" r:id="rId11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C9">
          <w:rPr>
            <w:noProof/>
          </w:rPr>
          <w:t>3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4C39"/>
    <w:rsid w:val="000C4FBC"/>
    <w:rsid w:val="000C696A"/>
    <w:rsid w:val="000D4007"/>
    <w:rsid w:val="001703B0"/>
    <w:rsid w:val="001866A2"/>
    <w:rsid w:val="001A4B23"/>
    <w:rsid w:val="001D058E"/>
    <w:rsid w:val="001D6321"/>
    <w:rsid w:val="00220ED4"/>
    <w:rsid w:val="00252CEF"/>
    <w:rsid w:val="00271956"/>
    <w:rsid w:val="003553AE"/>
    <w:rsid w:val="00362995"/>
    <w:rsid w:val="003634CF"/>
    <w:rsid w:val="003903E7"/>
    <w:rsid w:val="0039380C"/>
    <w:rsid w:val="003C1090"/>
    <w:rsid w:val="00413207"/>
    <w:rsid w:val="00421DC9"/>
    <w:rsid w:val="00446F5E"/>
    <w:rsid w:val="004B11A0"/>
    <w:rsid w:val="004C31D7"/>
    <w:rsid w:val="004F311B"/>
    <w:rsid w:val="0057047A"/>
    <w:rsid w:val="005A5941"/>
    <w:rsid w:val="005E75F6"/>
    <w:rsid w:val="00635579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11031"/>
    <w:rsid w:val="00AE49B3"/>
    <w:rsid w:val="00B2280F"/>
    <w:rsid w:val="00B32066"/>
    <w:rsid w:val="00B467AE"/>
    <w:rsid w:val="00B54DF8"/>
    <w:rsid w:val="00BC0676"/>
    <w:rsid w:val="00C61EE7"/>
    <w:rsid w:val="00C94B85"/>
    <w:rsid w:val="00C97D79"/>
    <w:rsid w:val="00CB0605"/>
    <w:rsid w:val="00D01A46"/>
    <w:rsid w:val="00D15C6C"/>
    <w:rsid w:val="00D57A64"/>
    <w:rsid w:val="00D76B90"/>
    <w:rsid w:val="00DB7D32"/>
    <w:rsid w:val="00DC144E"/>
    <w:rsid w:val="00E27E8E"/>
    <w:rsid w:val="00E63043"/>
    <w:rsid w:val="00E71561"/>
    <w:rsid w:val="00EB4B65"/>
    <w:rsid w:val="00EE26A5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